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 xml:space="preserve">В рамках договора о сотрудничестве с </w:t>
      </w:r>
      <w:r w:rsidRPr="008A2B2D">
        <w:rPr>
          <w:rStyle w:val="a4"/>
          <w:rFonts w:ascii="Arial" w:hAnsi="Arial" w:cs="Arial"/>
          <w:bCs/>
          <w:sz w:val="24"/>
          <w:szCs w:val="24"/>
        </w:rPr>
        <w:t xml:space="preserve">Федеральным государственным автономным образовательным учреждением высшего образования «Российский национальный исследовательский медицинский университет имени Н.И. Пирогова» </w:t>
      </w:r>
      <w:r w:rsidR="00AF23F5" w:rsidRPr="008A2B2D">
        <w:rPr>
          <w:rStyle w:val="a4"/>
          <w:rFonts w:ascii="Arial" w:hAnsi="Arial" w:cs="Arial"/>
          <w:bCs/>
          <w:sz w:val="24"/>
          <w:szCs w:val="24"/>
        </w:rPr>
        <w:t>Министерства здравоохранения Российской Федерации,</w:t>
      </w:r>
      <w:r w:rsidRPr="008A2B2D">
        <w:rPr>
          <w:rStyle w:val="a4"/>
          <w:rFonts w:ascii="Arial" w:hAnsi="Arial" w:cs="Arial"/>
          <w:bCs/>
          <w:sz w:val="24"/>
          <w:szCs w:val="24"/>
        </w:rPr>
        <w:t xml:space="preserve"> обучающиеся 8 класса ГАОУ МО «Долгопрудненская гимназия» получают углубленные знания по химии и биологии, посещая лекции преподавателей </w:t>
      </w:r>
      <w:r w:rsidR="00AF23F5" w:rsidRPr="008A2B2D">
        <w:rPr>
          <w:rStyle w:val="a4"/>
          <w:rFonts w:ascii="Arial" w:hAnsi="Arial" w:cs="Arial"/>
          <w:bCs/>
          <w:sz w:val="24"/>
          <w:szCs w:val="24"/>
        </w:rPr>
        <w:t>университета.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/>
          <w:bCs/>
          <w:sz w:val="24"/>
          <w:szCs w:val="24"/>
        </w:rPr>
      </w:pPr>
      <w:r w:rsidRPr="008A2B2D">
        <w:rPr>
          <w:rStyle w:val="a4"/>
          <w:rFonts w:ascii="Arial" w:hAnsi="Arial" w:cs="Arial"/>
          <w:b/>
          <w:bCs/>
          <w:sz w:val="24"/>
          <w:szCs w:val="24"/>
        </w:rPr>
        <w:t xml:space="preserve">В течение октября – декабря были проведены лекции 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/>
          <w:bCs/>
          <w:sz w:val="24"/>
          <w:szCs w:val="24"/>
          <w:u w:val="single"/>
        </w:rPr>
      </w:pPr>
      <w:r w:rsidRPr="008A2B2D">
        <w:rPr>
          <w:rStyle w:val="a4"/>
          <w:rFonts w:ascii="Arial" w:hAnsi="Arial" w:cs="Arial"/>
          <w:b/>
          <w:bCs/>
          <w:sz w:val="24"/>
          <w:szCs w:val="24"/>
          <w:u w:val="single"/>
        </w:rPr>
        <w:t>курса «Углубленное изучение биологии»: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 xml:space="preserve"> 1. Систематика живого. Представление об основных царствах живого. Общий план строения эукариотической клетки. Клеточная теория, этапы развития. Современные положения клеточной теории. Возможности светового и электронного микроскопов. Методы микроскопии, разделения компонентов клетки.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2. Сравнение про- и эукариотической клетки. Бактерии и вирусы. Бактериальные и вирусные заболевания. Сравнительная характеристика клеток животных, растений и грибов.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3. Систематика царства растения. Низшие растения. Подцарство настоящие водоросли (отделы зеленые и бурые водоросли), подцарство Багрянки (отдел красные водоросли). Представители, условия обитания, размножение, использование человеком, место в биогеоценозах морских и пресных водоемов.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4. Царство Грибы. Высшие и низшие грибы. Плесневые грибы. Шляпочные грибы. Ядовитые шляпочные. Грибы, вызывающие болезни растений, животных, человека.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5.  Лишайники как симбиотические организмы. Представители. Роль в освоении ранее незаселенных участков суши. Экологические характеристики лишайников. Использование человеком.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6. Высшие растения. Отделы высших растений: Моховидные, Папоротниковидные, Хвощевидные, Плауновидные. Голосеменные, Покрытосеменные. Классы: Дву- и Однодольные. Споровые и семенные растения.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Cs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7. Условия освоения суши растениями Характеристика риниофитов</w:t>
      </w:r>
      <w:bookmarkStart w:id="0" w:name="_GoBack"/>
      <w:bookmarkEnd w:id="0"/>
      <w:r w:rsidRPr="008A2B2D">
        <w:rPr>
          <w:rStyle w:val="a4"/>
          <w:rFonts w:ascii="Arial" w:hAnsi="Arial" w:cs="Arial"/>
          <w:bCs/>
          <w:sz w:val="24"/>
          <w:szCs w:val="24"/>
        </w:rPr>
        <w:t xml:space="preserve"> как первых наземных растений. Мхи. Представители, условия обитания, размножение, использование человеком, место в биогеоценозах. Ткани высших </w:t>
      </w:r>
      <w:r w:rsidRPr="008A2B2D">
        <w:rPr>
          <w:rStyle w:val="a4"/>
          <w:rFonts w:ascii="Arial" w:hAnsi="Arial" w:cs="Arial"/>
          <w:bCs/>
          <w:sz w:val="24"/>
          <w:szCs w:val="24"/>
        </w:rPr>
        <w:lastRenderedPageBreak/>
        <w:t>растений (образовательная, покровная, основные, механические, проводящие и выделительные).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Style w:val="a4"/>
          <w:rFonts w:ascii="Arial" w:hAnsi="Arial" w:cs="Arial"/>
          <w:bCs/>
          <w:sz w:val="24"/>
          <w:szCs w:val="24"/>
        </w:rPr>
        <w:t>8. Эмбриональное развитие. Методы пренатальной диагностики пороков развития. Постнатальное развитие.</w:t>
      </w:r>
    </w:p>
    <w:p w:rsidR="008A2B2D" w:rsidRPr="008A2B2D" w:rsidRDefault="008A2B2D" w:rsidP="008A2B2D">
      <w:pPr>
        <w:spacing w:line="360" w:lineRule="auto"/>
        <w:ind w:firstLine="708"/>
        <w:rPr>
          <w:rStyle w:val="a4"/>
          <w:rFonts w:ascii="Arial" w:hAnsi="Arial" w:cs="Arial"/>
          <w:b/>
          <w:bCs/>
          <w:sz w:val="24"/>
          <w:szCs w:val="24"/>
          <w:u w:val="single"/>
        </w:rPr>
      </w:pPr>
      <w:r w:rsidRPr="008A2B2D">
        <w:rPr>
          <w:rStyle w:val="a4"/>
          <w:rFonts w:ascii="Arial" w:hAnsi="Arial" w:cs="Arial"/>
          <w:b/>
          <w:bCs/>
          <w:sz w:val="24"/>
          <w:szCs w:val="24"/>
          <w:u w:val="single"/>
        </w:rPr>
        <w:t>курса «Углубленное изучение химии»: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1. Предмет химии. Химия как часть естествознания. Вещества и их свойства. Физические и химические явления. Химические реакции.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2. Атомы и молекулы, ионы.  Вещества молекулярного и немолекулярного строения. Кристаллические решетки.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3. Простые и сложные вещества. Химический элемент. Знаки химических элементов. Металлы и неметаллы.   Относительная атомная масса.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4. Закон постоянства состава веществ. Химические формулы. Относительная молекулярная масса. Качественный и количественный состав вещества. Массовая доля химического элемента в соединении.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5. 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6. Атомно-молекулярное учение.</w:t>
      </w:r>
    </w:p>
    <w:p w:rsidR="008A2B2D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7. Закон сохранения массы веществ. Химические уравнения.</w:t>
      </w:r>
    </w:p>
    <w:p w:rsidR="001E14C1" w:rsidRPr="008A2B2D" w:rsidRDefault="008A2B2D" w:rsidP="008A2B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A2B2D">
        <w:rPr>
          <w:rFonts w:ascii="Arial" w:hAnsi="Arial" w:cs="Arial"/>
          <w:sz w:val="24"/>
          <w:szCs w:val="24"/>
        </w:rPr>
        <w:t>8. Типы химических реакций. Реакции соединения, разложения, замещения, обмена</w:t>
      </w:r>
    </w:p>
    <w:sectPr w:rsidR="001E14C1" w:rsidRPr="008A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28D3"/>
    <w:multiLevelType w:val="hybridMultilevel"/>
    <w:tmpl w:val="E4D8BA16"/>
    <w:lvl w:ilvl="0" w:tplc="9076A97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5FD11F28"/>
    <w:multiLevelType w:val="hybridMultilevel"/>
    <w:tmpl w:val="057CDAEE"/>
    <w:lvl w:ilvl="0" w:tplc="E6FAC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2D"/>
    <w:rsid w:val="001E14C1"/>
    <w:rsid w:val="008A2B2D"/>
    <w:rsid w:val="00A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EBDD-AB20-481E-9110-E2FFAA48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B2D"/>
  </w:style>
  <w:style w:type="paragraph" w:styleId="a5">
    <w:name w:val="List Paragraph"/>
    <w:basedOn w:val="a"/>
    <w:uiPriority w:val="34"/>
    <w:qFormat/>
    <w:rsid w:val="008A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2021-12-10T11:40:00Z</dcterms:created>
  <dcterms:modified xsi:type="dcterms:W3CDTF">2021-12-10T12:00:00Z</dcterms:modified>
</cp:coreProperties>
</file>